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le"/>
        <w:jc w:val="center"/>
        <w:rPr>
          <w:sz w:val="32"/>
          <w:szCs w:val="32"/>
        </w:rPr>
      </w:pPr>
      <w:r>
        <w:rPr>
          <w:sz w:val="32"/>
          <w:szCs w:val="32"/>
          <w:rtl w:val="0"/>
          <w:lang w:val="en-US"/>
        </w:rPr>
        <w:t xml:space="preserve">Foreign Exchange Student Financial Information </w:t>
      </w:r>
    </w:p>
    <w:p>
      <w:pPr>
        <w:pStyle w:val="Subtitle"/>
        <w:jc w:val="center"/>
        <w:rPr>
          <w:sz w:val="24"/>
          <w:szCs w:val="24"/>
        </w:rPr>
      </w:pPr>
    </w:p>
    <w:tbl>
      <w:tblPr>
        <w:tblW w:w="9355"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7206"/>
        <w:gridCol w:w="2149"/>
      </w:tblGrid>
      <w:tr>
        <w:tblPrEx>
          <w:shd w:val="clear" w:color="auto" w:fill="cadfff"/>
        </w:tblPrEx>
        <w:trPr>
          <w:trHeight w:val="293" w:hRule="atLeast"/>
        </w:trPr>
        <w:tc>
          <w:tcPr>
            <w:tcW w:type="dxa" w:w="72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b w:val="1"/>
                <w:bCs w:val="1"/>
                <w:rtl w:val="0"/>
                <w:lang w:val="fr-FR"/>
              </w:rPr>
              <w:t>Tuition-</w:t>
            </w:r>
            <w:r>
              <w:rPr>
                <w:rtl w:val="0"/>
                <w:lang w:val="fr-FR"/>
              </w:rPr>
              <w:t xml:space="preserve"> Se</w:t>
            </w:r>
            <w:r>
              <w:rPr>
                <w:rtl w:val="0"/>
                <w:lang w:val="en-US"/>
              </w:rPr>
              <w:t>mester</w:t>
            </w:r>
            <w:r>
              <w:rPr>
                <w:rtl w:val="0"/>
                <w:lang w:val="fr-FR"/>
              </w:rPr>
              <w:t xml:space="preserve"> 1</w:t>
            </w:r>
          </w:p>
        </w:tc>
        <w:tc>
          <w:tcPr>
            <w:tcW w:type="dxa" w:w="21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rPr>
              <w:t>$8,925</w:t>
            </w:r>
          </w:p>
        </w:tc>
      </w:tr>
      <w:tr>
        <w:tblPrEx>
          <w:shd w:val="clear" w:color="auto" w:fill="cadfff"/>
        </w:tblPrEx>
        <w:trPr>
          <w:trHeight w:val="1292" w:hRule="atLeast"/>
        </w:trPr>
        <w:tc>
          <w:tcPr>
            <w:tcW w:type="dxa" w:w="72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b w:val="1"/>
                <w:bCs w:val="1"/>
                <w:rtl w:val="0"/>
                <w:lang w:val="en-US"/>
              </w:rPr>
              <w:t>Incidentals-</w:t>
            </w:r>
            <w:r>
              <w:rPr>
                <w:rtl w:val="0"/>
                <w:lang w:val="en-US"/>
              </w:rPr>
              <w:t xml:space="preserve"> Includes fees for hot lunch, music tour, sports fees, private music lessons, instrument rental, field trips, etc. If there is money left at the end of the school year, the credit balance will be forwarded to the next school year</w:t>
            </w:r>
            <w:r>
              <w:rPr>
                <w:rFonts w:ascii="Arial Unicode MS" w:hAnsi="Arial Unicode MS" w:hint="default"/>
                <w:rtl w:val="1"/>
              </w:rPr>
              <w:t>’</w:t>
            </w:r>
            <w:r>
              <w:rPr>
                <w:rtl w:val="0"/>
                <w:lang w:val="en-US"/>
              </w:rPr>
              <w:t>s fund or will be refunded to the financially responsible party at the end of the student</w:t>
            </w:r>
            <w:r>
              <w:rPr>
                <w:rFonts w:ascii="Arial Unicode MS" w:hAnsi="Arial Unicode MS" w:hint="default"/>
                <w:rtl w:val="1"/>
              </w:rPr>
              <w:t>’</w:t>
            </w:r>
            <w:r>
              <w:rPr>
                <w:rtl w:val="0"/>
                <w:lang w:val="fr-FR"/>
              </w:rPr>
              <w:t>s tenure.</w:t>
            </w:r>
          </w:p>
        </w:tc>
        <w:tc>
          <w:tcPr>
            <w:tcW w:type="dxa" w:w="21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rPr>
              <w:t>$1,250</w:t>
            </w:r>
          </w:p>
        </w:tc>
      </w:tr>
      <w:tr>
        <w:tblPrEx>
          <w:shd w:val="clear" w:color="auto" w:fill="cadfff"/>
        </w:tblPrEx>
        <w:trPr>
          <w:trHeight w:val="485" w:hRule="atLeast"/>
        </w:trPr>
        <w:tc>
          <w:tcPr>
            <w:tcW w:type="dxa" w:w="72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b w:val="1"/>
                <w:bCs w:val="1"/>
                <w:rtl w:val="0"/>
                <w:lang w:val="en-US"/>
              </w:rPr>
              <w:t>Activity Fee-</w:t>
            </w:r>
            <w:r>
              <w:rPr>
                <w:rtl w:val="0"/>
                <w:lang w:val="en-US"/>
              </w:rPr>
              <w:t xml:space="preserve"> Covers quarterly, cultural activities and international student celebrations (non refundable.) </w:t>
            </w:r>
          </w:p>
        </w:tc>
        <w:tc>
          <w:tcPr>
            <w:tcW w:type="dxa" w:w="21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rPr>
              <w:t>$350</w:t>
            </w:r>
          </w:p>
        </w:tc>
      </w:tr>
      <w:tr>
        <w:tblPrEx>
          <w:shd w:val="clear" w:color="auto" w:fill="cadfff"/>
        </w:tblPrEx>
        <w:trPr>
          <w:trHeight w:val="293" w:hRule="atLeast"/>
        </w:trPr>
        <w:tc>
          <w:tcPr>
            <w:tcW w:type="dxa" w:w="72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b w:val="1"/>
                <w:bCs w:val="1"/>
                <w:rtl w:val="0"/>
                <w:lang w:val="en-US"/>
              </w:rPr>
              <w:t xml:space="preserve">SEVIS Foreign Exchange Fee- </w:t>
            </w:r>
            <w:r>
              <w:rPr>
                <w:rtl w:val="0"/>
                <w:lang w:val="en-US"/>
              </w:rPr>
              <w:t>(non refundable- 1st year only)</w:t>
            </w:r>
          </w:p>
        </w:tc>
        <w:tc>
          <w:tcPr>
            <w:tcW w:type="dxa" w:w="21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rPr>
              <w:t>$350</w:t>
            </w:r>
          </w:p>
        </w:tc>
      </w:tr>
      <w:tr>
        <w:tblPrEx>
          <w:shd w:val="clear" w:color="auto" w:fill="cadfff"/>
        </w:tblPrEx>
        <w:trPr>
          <w:trHeight w:val="293" w:hRule="atLeast"/>
        </w:trPr>
        <w:tc>
          <w:tcPr>
            <w:tcW w:type="dxa" w:w="72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b w:val="1"/>
                <w:bCs w:val="1"/>
                <w:rtl w:val="0"/>
                <w:lang w:val="en-US"/>
              </w:rPr>
              <w:t>Application Fee-</w:t>
            </w:r>
            <w:r>
              <w:rPr>
                <w:rtl w:val="0"/>
                <w:lang w:val="en-US"/>
              </w:rPr>
              <w:t xml:space="preserve"> (non refundable- 1st year only)</w:t>
            </w:r>
          </w:p>
        </w:tc>
        <w:tc>
          <w:tcPr>
            <w:tcW w:type="dxa" w:w="21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rPr>
              <w:t>$200</w:t>
            </w:r>
          </w:p>
        </w:tc>
      </w:tr>
      <w:tr>
        <w:tblPrEx>
          <w:shd w:val="clear" w:color="auto" w:fill="cadfff"/>
        </w:tblPrEx>
        <w:trPr>
          <w:trHeight w:val="293" w:hRule="atLeast"/>
        </w:trPr>
        <w:tc>
          <w:tcPr>
            <w:tcW w:type="dxa" w:w="72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b w:val="1"/>
                <w:bCs w:val="1"/>
                <w:rtl w:val="0"/>
                <w:lang w:val="en-US"/>
              </w:rPr>
              <w:t xml:space="preserve">Registration Fee- </w:t>
            </w:r>
            <w:r>
              <w:rPr>
                <w:rtl w:val="0"/>
                <w:lang w:val="en-US"/>
              </w:rPr>
              <w:t>(non refundable)</w:t>
            </w:r>
          </w:p>
        </w:tc>
        <w:tc>
          <w:tcPr>
            <w:tcW w:type="dxa" w:w="21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rtl w:val="0"/>
                <w:lang w:val="en-US"/>
              </w:rPr>
              <w:t>$500</w:t>
            </w:r>
          </w:p>
        </w:tc>
      </w:tr>
      <w:tr>
        <w:tblPrEx>
          <w:shd w:val="clear" w:color="auto" w:fill="cadfff"/>
        </w:tblPrEx>
        <w:trPr>
          <w:trHeight w:val="1206" w:hRule="atLeast"/>
        </w:trPr>
        <w:tc>
          <w:tcPr>
            <w:tcW w:type="dxa" w:w="72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b w:val="1"/>
                <w:bCs w:val="1"/>
                <w:rtl w:val="0"/>
                <w:lang w:val="de-DE"/>
              </w:rPr>
              <w:t>Class Dues</w:t>
            </w:r>
            <w:r>
              <w:rPr>
                <w:b w:val="1"/>
                <w:bCs w:val="1"/>
                <w:rtl w:val="0"/>
                <w:lang w:val="en-US"/>
              </w:rPr>
              <w:t>-</w:t>
            </w:r>
            <w:r>
              <w:rPr>
                <w:b w:val="1"/>
                <w:bCs w:val="1"/>
                <w:rtl w:val="0"/>
                <w:lang w:val="fr-FR"/>
              </w:rPr>
              <w:t xml:space="preserve"> </w:t>
            </w:r>
            <w:r>
              <w:rPr>
                <w:rtl w:val="0"/>
                <w:lang w:val="en-US"/>
              </w:rPr>
              <w:t>9th and 10th grade</w:t>
            </w:r>
          </w:p>
          <w:p>
            <w:pPr>
              <w:pStyle w:val="Table Style 2"/>
              <w:rPr>
                <w:lang w:val="fr-FR"/>
              </w:rPr>
            </w:pPr>
          </w:p>
          <w:p>
            <w:pPr>
              <w:pStyle w:val="Table Style 2"/>
              <w:bidi w:val="0"/>
              <w:ind w:left="0" w:right="0" w:firstLine="0"/>
              <w:jc w:val="left"/>
              <w:rPr>
                <w:rtl w:val="0"/>
              </w:rPr>
            </w:pPr>
            <w:r>
              <w:rPr>
                <w:rtl w:val="0"/>
                <w:lang w:val="fr-FR"/>
              </w:rPr>
              <w:t>OR</w:t>
            </w:r>
          </w:p>
          <w:p>
            <w:pPr>
              <w:pStyle w:val="Table Style 2"/>
              <w:rPr>
                <w:lang w:val="fr-FR"/>
              </w:rPr>
            </w:pPr>
          </w:p>
          <w:p>
            <w:pPr>
              <w:pStyle w:val="Table Style 2"/>
              <w:bidi w:val="0"/>
              <w:ind w:left="0" w:right="0" w:firstLine="0"/>
              <w:jc w:val="left"/>
              <w:rPr>
                <w:rtl w:val="0"/>
              </w:rPr>
            </w:pPr>
            <w:r>
              <w:rPr>
                <w:b w:val="1"/>
                <w:bCs w:val="1"/>
                <w:rtl w:val="0"/>
                <w:lang w:val="de-DE"/>
              </w:rPr>
              <w:t>Class Dues</w:t>
            </w:r>
            <w:r>
              <w:rPr>
                <w:b w:val="1"/>
                <w:bCs w:val="1"/>
                <w:rtl w:val="0"/>
                <w:lang w:val="en-US"/>
              </w:rPr>
              <w:t>-</w:t>
            </w:r>
            <w:r>
              <w:rPr>
                <w:rtl w:val="0"/>
                <w:lang w:val="en-US"/>
              </w:rPr>
              <w:t xml:space="preserve"> 11th and 12th grad</w:t>
            </w:r>
            <w:r>
              <w:rPr>
                <w:rtl w:val="0"/>
                <w:lang w:val="en-US"/>
              </w:rPr>
              <w:t>e</w:t>
            </w:r>
          </w:p>
        </w:tc>
        <w:tc>
          <w:tcPr>
            <w:tcW w:type="dxa" w:w="21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fr-FR"/>
              </w:rPr>
              <w:t>$50</w:t>
            </w:r>
          </w:p>
          <w:p>
            <w:pPr>
              <w:pStyle w:val="Table Style 2"/>
              <w:rPr>
                <w:lang w:val="fr-FR"/>
              </w:rPr>
            </w:pPr>
          </w:p>
          <w:p>
            <w:pPr>
              <w:pStyle w:val="Table Style 2"/>
              <w:rPr>
                <w:lang w:val="fr-FR"/>
              </w:rPr>
            </w:pPr>
          </w:p>
          <w:p>
            <w:pPr>
              <w:pStyle w:val="Table Style 2"/>
              <w:rPr>
                <w:lang w:val="fr-FR"/>
              </w:rPr>
            </w:pPr>
          </w:p>
          <w:p>
            <w:pPr>
              <w:pStyle w:val="Table Style 2"/>
              <w:bidi w:val="0"/>
              <w:ind w:left="0" w:right="0" w:firstLine="0"/>
              <w:jc w:val="left"/>
              <w:rPr>
                <w:rtl w:val="0"/>
              </w:rPr>
            </w:pPr>
            <w:r>
              <w:rPr>
                <w:rtl w:val="0"/>
                <w:lang w:val="fr-FR"/>
              </w:rPr>
              <w:t>$100</w:t>
            </w:r>
          </w:p>
        </w:tc>
      </w:tr>
      <w:tr>
        <w:tblPrEx>
          <w:shd w:val="clear" w:color="auto" w:fill="cadfff"/>
        </w:tblPrEx>
        <w:trPr>
          <w:trHeight w:val="293" w:hRule="atLeast"/>
        </w:trPr>
        <w:tc>
          <w:tcPr>
            <w:tcW w:type="dxa" w:w="72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b w:val="1"/>
                <w:bCs w:val="1"/>
                <w:rtl w:val="0"/>
                <w:lang w:val="en-US"/>
              </w:rPr>
              <w:t xml:space="preserve">First Semester Total- </w:t>
            </w:r>
            <w:r>
              <w:rPr>
                <w:rtl w:val="0"/>
                <w:lang w:val="en-US"/>
              </w:rPr>
              <w:t>First year student</w:t>
            </w:r>
          </w:p>
        </w:tc>
        <w:tc>
          <w:tcPr>
            <w:tcW w:type="dxa" w:w="21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tl w:val="0"/>
                <w:lang w:val="fr-FR"/>
              </w:rPr>
              <w:t>$11,425 + class dues</w:t>
            </w:r>
          </w:p>
        </w:tc>
      </w:tr>
    </w:tbl>
    <w:p>
      <w:pPr>
        <w:pStyle w:val="Subtitle"/>
        <w:widowControl w:val="0"/>
        <w:ind w:left="108" w:hanging="108"/>
        <w:jc w:val="center"/>
        <w:rPr>
          <w:sz w:val="24"/>
          <w:szCs w:val="24"/>
        </w:rPr>
      </w:pPr>
    </w:p>
    <w:p>
      <w:pPr>
        <w:pStyle w:val="Subtitle"/>
        <w:jc w:val="center"/>
        <w:rPr>
          <w:sz w:val="24"/>
          <w:szCs w:val="24"/>
        </w:rPr>
      </w:pPr>
    </w:p>
    <w:p>
      <w:pPr>
        <w:pStyle w:val="Body A"/>
      </w:pPr>
    </w:p>
    <w:tbl>
      <w:tblPr>
        <w:tblW w:w="935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7209"/>
        <w:gridCol w:w="2146"/>
      </w:tblGrid>
      <w:tr>
        <w:tblPrEx>
          <w:shd w:val="clear" w:color="auto" w:fill="cadfff"/>
        </w:tblPrEx>
        <w:trPr>
          <w:trHeight w:val="300" w:hRule="atLeast"/>
        </w:trPr>
        <w:tc>
          <w:tcPr>
            <w:tcW w:type="dxa" w:w="72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b w:val="1"/>
                <w:bCs w:val="1"/>
                <w:rtl w:val="0"/>
                <w:lang w:val="en-US"/>
              </w:rPr>
              <w:t xml:space="preserve">Tuition- </w:t>
            </w:r>
            <w:r>
              <w:rPr>
                <w:rtl w:val="0"/>
                <w:lang w:val="en-US"/>
              </w:rPr>
              <w:t>Semester 2</w:t>
            </w:r>
          </w:p>
        </w:tc>
        <w:tc>
          <w:tcPr>
            <w:tcW w:type="dxa" w:w="21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fr-FR"/>
              </w:rPr>
              <w:t>$8,925 + class dues</w:t>
            </w:r>
          </w:p>
        </w:tc>
      </w:tr>
      <w:tr>
        <w:tblPrEx>
          <w:shd w:val="clear" w:color="auto" w:fill="cadfff"/>
        </w:tblPrEx>
        <w:trPr>
          <w:trHeight w:val="300" w:hRule="atLeast"/>
        </w:trPr>
        <w:tc>
          <w:tcPr>
            <w:tcW w:type="dxa" w:w="72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b w:val="1"/>
                <w:bCs w:val="1"/>
                <w:rtl w:val="0"/>
                <w:lang w:val="fr-FR"/>
              </w:rPr>
              <w:t>Total for First Year of Acceptance to PSAA</w:t>
            </w:r>
          </w:p>
        </w:tc>
        <w:tc>
          <w:tcPr>
            <w:tcW w:type="dxa" w:w="21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tl w:val="0"/>
                <w:lang w:val="fr-FR"/>
              </w:rPr>
              <w:t>$20,350 + class dues</w:t>
            </w:r>
          </w:p>
        </w:tc>
      </w:tr>
    </w:tbl>
    <w:p>
      <w:pPr>
        <w:pStyle w:val="Body A"/>
        <w:widowControl w:val="0"/>
        <w:ind w:left="108" w:hanging="108"/>
      </w:pPr>
    </w:p>
    <w:p>
      <w:pPr>
        <w:pStyle w:val="Body A"/>
      </w:pPr>
    </w:p>
    <w:p>
      <w:pPr>
        <w:pStyle w:val="Body A"/>
      </w:pPr>
    </w:p>
    <w:p>
      <w:pPr>
        <w:pStyle w:val="Body A"/>
      </w:pPr>
    </w:p>
    <w:tbl>
      <w:tblPr>
        <w:tblW w:w="935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7219"/>
        <w:gridCol w:w="2136"/>
      </w:tblGrid>
      <w:tr>
        <w:tblPrEx>
          <w:shd w:val="clear" w:color="auto" w:fill="cadfff"/>
        </w:tblPrEx>
        <w:trPr>
          <w:trHeight w:val="485" w:hRule="atLeast"/>
        </w:trPr>
        <w:tc>
          <w:tcPr>
            <w:tcW w:type="dxa" w:w="72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b w:val="1"/>
                <w:bCs w:val="1"/>
                <w:rtl w:val="0"/>
                <w:lang w:val="en-US"/>
              </w:rPr>
              <w:t xml:space="preserve">Returning Student- </w:t>
            </w:r>
            <w:r>
              <w:rPr>
                <w:rtl w:val="0"/>
                <w:lang w:val="en-US"/>
              </w:rPr>
              <w:t>Semester 1 (tuition, incidentals, activity and registration fee)</w:t>
            </w:r>
          </w:p>
        </w:tc>
        <w:tc>
          <w:tcPr>
            <w:tcW w:type="dxa" w:w="21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fr-FR"/>
              </w:rPr>
              <w:t>$11,025 + class dues</w:t>
            </w:r>
          </w:p>
        </w:tc>
      </w:tr>
      <w:tr>
        <w:tblPrEx>
          <w:shd w:val="clear" w:color="auto" w:fill="cadfff"/>
        </w:tblPrEx>
        <w:trPr>
          <w:trHeight w:val="300" w:hRule="atLeast"/>
        </w:trPr>
        <w:tc>
          <w:tcPr>
            <w:tcW w:type="dxa" w:w="72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b w:val="1"/>
                <w:bCs w:val="1"/>
                <w:rtl w:val="0"/>
                <w:lang w:val="en-US"/>
              </w:rPr>
              <w:t xml:space="preserve">Returning Student- </w:t>
            </w:r>
            <w:r>
              <w:rPr>
                <w:rtl w:val="0"/>
                <w:lang w:val="en-US"/>
              </w:rPr>
              <w:t>Semester 2 (tuition)</w:t>
            </w:r>
          </w:p>
        </w:tc>
        <w:tc>
          <w:tcPr>
            <w:tcW w:type="dxa" w:w="21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tl w:val="0"/>
                <w:lang w:val="fr-FR"/>
              </w:rPr>
              <w:t>$8,925 + class dues</w:t>
            </w:r>
          </w:p>
        </w:tc>
      </w:tr>
      <w:tr>
        <w:tblPrEx>
          <w:shd w:val="clear" w:color="auto" w:fill="cadfff"/>
        </w:tblPrEx>
        <w:trPr>
          <w:trHeight w:val="300" w:hRule="atLeast"/>
        </w:trPr>
        <w:tc>
          <w:tcPr>
            <w:tcW w:type="dxa" w:w="72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b w:val="1"/>
                <w:bCs w:val="1"/>
                <w:rtl w:val="0"/>
                <w:lang w:val="en-US"/>
              </w:rPr>
              <w:t xml:space="preserve">Returning Student- </w:t>
            </w:r>
            <w:r>
              <w:rPr>
                <w:rtl w:val="0"/>
                <w:lang w:val="en-US"/>
              </w:rPr>
              <w:t>Full year total</w:t>
            </w:r>
          </w:p>
        </w:tc>
        <w:tc>
          <w:tcPr>
            <w:tcW w:type="dxa" w:w="21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rtl w:val="0"/>
                <w:lang w:val="en-US"/>
              </w:rPr>
              <w:t>$19,950</w:t>
            </w:r>
          </w:p>
        </w:tc>
      </w:tr>
    </w:tbl>
    <w:p>
      <w:pPr>
        <w:pStyle w:val="Body A"/>
        <w:widowControl w:val="0"/>
        <w:ind w:left="108" w:hanging="108"/>
      </w:pPr>
    </w:p>
    <w:p>
      <w:pPr>
        <w:pStyle w:val="Body A"/>
      </w:pPr>
    </w:p>
    <w:p>
      <w:pPr>
        <w:pStyle w:val="Body A"/>
        <w:rPr>
          <w:sz w:val="24"/>
          <w:szCs w:val="24"/>
        </w:rPr>
      </w:pPr>
    </w:p>
    <w:p>
      <w:pPr>
        <w:pStyle w:val="Body A"/>
        <w:jc w:val="center"/>
        <w:rPr>
          <w:sz w:val="20"/>
          <w:szCs w:val="20"/>
        </w:rPr>
      </w:pPr>
      <w:r>
        <w:rPr>
          <w:sz w:val="20"/>
          <w:szCs w:val="20"/>
          <w:rtl w:val="0"/>
          <w:lang w:val="en-US"/>
        </w:rPr>
        <w:t>Rates are subject to change.</w:t>
      </w:r>
    </w:p>
    <w:p>
      <w:pPr>
        <w:pStyle w:val="Body A"/>
        <w:jc w:val="center"/>
        <w:rPr>
          <w:sz w:val="20"/>
          <w:szCs w:val="20"/>
        </w:rPr>
      </w:pPr>
    </w:p>
    <w:p>
      <w:pPr>
        <w:pStyle w:val="Body A"/>
        <w:jc w:val="center"/>
      </w:pPr>
      <w:r>
        <w:rPr>
          <w:sz w:val="20"/>
          <w:szCs w:val="20"/>
          <w:rtl w:val="0"/>
          <w:lang w:val="en-US"/>
        </w:rPr>
        <w:t>Withdrawal- Students who withdraw before the semester ends will not receive a refund for tuition paid for that semester.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Subtitle">
    <w:name w:val="Sub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40"/>
      <w:szCs w:val="40"/>
      <w:u w:val="none" w:color="000000"/>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fr-FR"/>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